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7957E" w14:textId="77777777" w:rsidR="006B58C6" w:rsidRDefault="006B58C6" w:rsidP="006B58C6">
      <w:pPr>
        <w:spacing w:after="0" w:line="240" w:lineRule="auto"/>
        <w:contextualSpacing/>
      </w:pPr>
      <w:r>
        <w:rPr>
          <w:noProof/>
          <w:lang w:eastAsia="en-NZ"/>
        </w:rPr>
        <w:drawing>
          <wp:anchor distT="0" distB="0" distL="114300" distR="114300" simplePos="0" relativeHeight="251659264" behindDoc="1" locked="0" layoutInCell="1" allowOverlap="1" wp14:anchorId="326A4D46" wp14:editId="32BA1A70">
            <wp:simplePos x="0" y="0"/>
            <wp:positionH relativeFrom="column">
              <wp:posOffset>-671448</wp:posOffset>
            </wp:positionH>
            <wp:positionV relativeFrom="paragraph">
              <wp:posOffset>-758825</wp:posOffset>
            </wp:positionV>
            <wp:extent cx="7560310" cy="1092509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310" cy="10925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EB93F" w14:textId="77777777" w:rsidR="006B58C6" w:rsidRDefault="006B58C6" w:rsidP="006B58C6">
      <w:pPr>
        <w:spacing w:after="0" w:line="240" w:lineRule="auto"/>
        <w:contextualSpacing/>
      </w:pPr>
    </w:p>
    <w:p w14:paraId="632581BF" w14:textId="77777777" w:rsidR="006B58C6" w:rsidRDefault="006B58C6" w:rsidP="006B58C6">
      <w:pPr>
        <w:tabs>
          <w:tab w:val="left" w:pos="1095"/>
        </w:tabs>
        <w:spacing w:after="0" w:line="240" w:lineRule="auto"/>
        <w:contextualSpacing/>
      </w:pPr>
    </w:p>
    <w:p w14:paraId="30EF70C0" w14:textId="77777777" w:rsidR="005A37CD" w:rsidRDefault="005A37CD" w:rsidP="006B58C6">
      <w:pPr>
        <w:spacing w:after="0" w:line="240" w:lineRule="auto"/>
        <w:contextualSpacing/>
      </w:pPr>
    </w:p>
    <w:p w14:paraId="6CC552F5" w14:textId="77777777" w:rsidR="00520DB4" w:rsidRDefault="00520DB4" w:rsidP="005A37CD">
      <w:pPr>
        <w:spacing w:after="0" w:line="240" w:lineRule="auto"/>
        <w:contextualSpacing/>
      </w:pPr>
    </w:p>
    <w:p w14:paraId="690C7FB5" w14:textId="77777777" w:rsidR="007C2B7F" w:rsidRDefault="007C2B7F" w:rsidP="005A37CD">
      <w:pPr>
        <w:spacing w:after="0" w:line="240" w:lineRule="auto"/>
        <w:contextualSpacing/>
      </w:pPr>
    </w:p>
    <w:p w14:paraId="7FE5DCC3" w14:textId="708CFC6B" w:rsidR="006B58C6" w:rsidRDefault="006B58C6" w:rsidP="004F0D9B">
      <w:pPr>
        <w:spacing w:after="0" w:line="240" w:lineRule="auto"/>
        <w:contextualSpacing/>
        <w:rPr>
          <w:rStyle w:val="scxw235463699"/>
        </w:rPr>
      </w:pPr>
      <w:bookmarkStart w:id="0" w:name="Subject"/>
      <w:bookmarkStart w:id="1" w:name="Text"/>
      <w:bookmarkEnd w:id="0"/>
      <w:bookmarkEnd w:id="1"/>
    </w:p>
    <w:p w14:paraId="6C3B54F2" w14:textId="77777777" w:rsidR="004F0D9B" w:rsidRPr="004F0D9B" w:rsidRDefault="004F0D9B" w:rsidP="004F0D9B">
      <w:pPr>
        <w:bidi/>
        <w:rPr>
          <w:rFonts w:cstheme="minorHAnsi"/>
          <w:b/>
          <w:sz w:val="32"/>
        </w:rPr>
      </w:pPr>
      <w:r>
        <w:rPr>
          <w:b/>
          <w:bCs/>
          <w:sz w:val="32"/>
          <w:szCs w:val="32"/>
          <w:rtl/>
        </w:rPr>
        <w:t xml:space="preserve">ميثاق تسهيل الوصول إلى وسائط النقل العام مع "ميتلينك" لعام </w:t>
      </w:r>
      <w:r w:rsidRPr="004F0D9B">
        <w:rPr>
          <w:rFonts w:cstheme="minorHAnsi"/>
          <w:b/>
          <w:bCs/>
          <w:sz w:val="32"/>
          <w:szCs w:val="32"/>
          <w:rtl/>
        </w:rPr>
        <w:t>2021</w:t>
      </w:r>
    </w:p>
    <w:p w14:paraId="3B36C472" w14:textId="77777777" w:rsidR="004F0D9B" w:rsidRDefault="004F0D9B" w:rsidP="004F0D9B">
      <w:pPr>
        <w:bidi/>
      </w:pPr>
      <w:r>
        <w:rPr>
          <w:rtl/>
        </w:rPr>
        <w:t xml:space="preserve">تتم مراجعته خلال فترة الثلاث سنوات القادمة </w:t>
      </w:r>
      <w:r w:rsidRPr="00D15285">
        <w:rPr>
          <w:rFonts w:ascii="Calibri" w:hAnsi="Calibri" w:cs="Calibri"/>
          <w:rtl/>
        </w:rPr>
        <w:t>(2021-2024</w:t>
      </w:r>
      <w:r>
        <w:rPr>
          <w:rtl/>
        </w:rPr>
        <w:t>)</w:t>
      </w:r>
    </w:p>
    <w:p w14:paraId="3F1B1F0F" w14:textId="77777777" w:rsidR="004F0D9B" w:rsidRDefault="004F0D9B" w:rsidP="004F0D9B">
      <w:pPr>
        <w:bidi/>
      </w:pPr>
      <w:r>
        <w:rPr>
          <w:rtl/>
        </w:rPr>
        <w:t xml:space="preserve">يوفر الميثاق سبلاً لتحقيق التزامات "ميتلينك" في زيادة تسهيل وصول ذوي الإعاقات إلى شبكة خدمات النقل العام من 2021 إلى 2031. وتشمل وسائط "ميتلينك" للنقل العام، الحافلات والقطارات والعبارات وعربات نقل ذوي الإعاقة توتال موبيليتي "Total Mobility"، وجميع الخدمات والتسهيلات التي تدعمها، وبضمنها أية خدمات تضيفها "ميتلينك" إلى شبكتها في المستقبل، على سبيل المثال وسائل النقل العام الطارئة. </w:t>
      </w:r>
    </w:p>
    <w:p w14:paraId="0E834D88" w14:textId="77777777" w:rsidR="004F0D9B" w:rsidRDefault="004F0D9B" w:rsidP="004F0D9B">
      <w:pPr>
        <w:bidi/>
      </w:pPr>
      <w:r>
        <w:rPr>
          <w:rtl/>
        </w:rPr>
        <w:t xml:space="preserve">تم إعداد هذا البيان وفقاً للوثائق الوطنية والدولية التالية: </w:t>
      </w:r>
    </w:p>
    <w:p w14:paraId="5E420E08" w14:textId="77777777" w:rsidR="004F0D9B" w:rsidRDefault="004F0D9B" w:rsidP="004F0D9B">
      <w:pPr>
        <w:pStyle w:val="ListParagraph"/>
        <w:numPr>
          <w:ilvl w:val="0"/>
          <w:numId w:val="4"/>
        </w:numPr>
        <w:bidi/>
      </w:pPr>
      <w:r>
        <w:rPr>
          <w:rtl/>
        </w:rPr>
        <w:t>اتفاقية الأمم المتحدة لحقوق الأشخاص ذوي الإعاقة لعام 2006 (صادقت عليها حكومة نيوزيلندا في عام 2008)</w:t>
      </w:r>
    </w:p>
    <w:p w14:paraId="27212884" w14:textId="77777777" w:rsidR="004F0D9B" w:rsidRDefault="004F0D9B" w:rsidP="004F0D9B">
      <w:pPr>
        <w:pStyle w:val="ListParagraph"/>
        <w:numPr>
          <w:ilvl w:val="0"/>
          <w:numId w:val="4"/>
        </w:numPr>
        <w:bidi/>
      </w:pPr>
      <w:r>
        <w:rPr>
          <w:rtl/>
        </w:rPr>
        <w:t xml:space="preserve">قانون حقوق الإنسان في نيوزيلندا لعام </w:t>
      </w:r>
      <w:r w:rsidRPr="004F0D9B">
        <w:rPr>
          <w:rFonts w:ascii="Calibri" w:hAnsi="Calibri" w:cs="Calibri"/>
          <w:rtl/>
        </w:rPr>
        <w:t>1993</w:t>
      </w:r>
    </w:p>
    <w:p w14:paraId="3E1C211A" w14:textId="77777777" w:rsidR="004F0D9B" w:rsidRDefault="004F0D9B" w:rsidP="004F0D9B">
      <w:pPr>
        <w:pStyle w:val="ListParagraph"/>
        <w:numPr>
          <w:ilvl w:val="0"/>
          <w:numId w:val="4"/>
        </w:numPr>
        <w:bidi/>
      </w:pPr>
      <w:r>
        <w:rPr>
          <w:rtl/>
        </w:rPr>
        <w:t xml:space="preserve">إستراتيجية خدمات الإعاقة في نيوزيلندا </w:t>
      </w:r>
      <w:r w:rsidRPr="004F0D9B">
        <w:rPr>
          <w:rFonts w:cstheme="minorHAnsi"/>
          <w:rtl/>
        </w:rPr>
        <w:t>2016-2026</w:t>
      </w:r>
    </w:p>
    <w:p w14:paraId="582EB16B" w14:textId="77777777" w:rsidR="004F0D9B" w:rsidRPr="00634BF8" w:rsidRDefault="004F0D9B" w:rsidP="004F0D9B">
      <w:pPr>
        <w:bidi/>
        <w:rPr>
          <w:b/>
          <w:sz w:val="28"/>
        </w:rPr>
      </w:pPr>
      <w:r>
        <w:rPr>
          <w:b/>
          <w:bCs/>
          <w:sz w:val="28"/>
          <w:szCs w:val="28"/>
          <w:rtl/>
        </w:rPr>
        <w:t>الرؤية</w:t>
      </w:r>
    </w:p>
    <w:p w14:paraId="125940F2" w14:textId="77777777" w:rsidR="004F0D9B" w:rsidRDefault="004F0D9B" w:rsidP="004F0D9B">
      <w:pPr>
        <w:bidi/>
      </w:pPr>
      <w:r>
        <w:rPr>
          <w:rtl/>
        </w:rPr>
        <w:t>أن تكون شبكة "ميتلينك" للنقل العام متاحة للجميع بسهولة ومع الحفاظ على الكرامة.</w:t>
      </w:r>
    </w:p>
    <w:p w14:paraId="051D4D0C" w14:textId="77777777" w:rsidR="004F0D9B" w:rsidRPr="00634BF8" w:rsidRDefault="004F0D9B" w:rsidP="004F0D9B">
      <w:pPr>
        <w:bidi/>
        <w:rPr>
          <w:b/>
          <w:sz w:val="28"/>
        </w:rPr>
      </w:pPr>
      <w:r>
        <w:rPr>
          <w:b/>
          <w:bCs/>
          <w:sz w:val="28"/>
          <w:szCs w:val="28"/>
          <w:rtl/>
        </w:rPr>
        <w:t>تنفيذ العمل</w:t>
      </w:r>
    </w:p>
    <w:p w14:paraId="502183A0" w14:textId="77777777" w:rsidR="004F0D9B" w:rsidRDefault="004F0D9B" w:rsidP="004F0D9B">
      <w:pPr>
        <w:bidi/>
      </w:pPr>
      <w:r>
        <w:rPr>
          <w:rtl/>
        </w:rPr>
        <w:t>تلتزم "ميتلينك" بما يلي:</w:t>
      </w:r>
    </w:p>
    <w:p w14:paraId="30C368CB" w14:textId="77777777" w:rsidR="004F0D9B" w:rsidRPr="00634BF8" w:rsidRDefault="004F0D9B" w:rsidP="004F0D9B">
      <w:pPr>
        <w:bidi/>
        <w:rPr>
          <w:b/>
        </w:rPr>
      </w:pPr>
      <w:r>
        <w:rPr>
          <w:b/>
          <w:bCs/>
          <w:rtl/>
        </w:rPr>
        <w:t>خطة تنفيذ العمل</w:t>
      </w:r>
    </w:p>
    <w:p w14:paraId="5397FB27" w14:textId="77777777" w:rsidR="004F0D9B" w:rsidRDefault="004F0D9B" w:rsidP="004F0D9B">
      <w:pPr>
        <w:pStyle w:val="ListParagraph"/>
        <w:numPr>
          <w:ilvl w:val="0"/>
          <w:numId w:val="5"/>
        </w:numPr>
        <w:bidi/>
      </w:pPr>
      <w:r>
        <w:rPr>
          <w:rtl/>
        </w:rPr>
        <w:t>تضمين مفهوم الرحلة التي يمكن القيام بها</w:t>
      </w:r>
    </w:p>
    <w:p w14:paraId="088AE4FB" w14:textId="77777777" w:rsidR="004F0D9B" w:rsidRDefault="004F0D9B" w:rsidP="004F0D9B">
      <w:pPr>
        <w:pStyle w:val="ListParagraph"/>
        <w:numPr>
          <w:ilvl w:val="0"/>
          <w:numId w:val="5"/>
        </w:numPr>
        <w:bidi/>
      </w:pPr>
      <w:r>
        <w:rPr>
          <w:rtl/>
        </w:rPr>
        <w:t>المشاركة في التصميم والمشاورة من خلال الشبكات الاستشارية المعنية بوسائل النقل العام للإعاقة، وضمان استشارة الأشخاص ذوي الإعاقة ومقدمي خدمات الإعاقة، إما من خلال هذه المجموعات، أو مباشرة عند تخطيط البنية التحتية للنقل العام وخدماته، والعمل معهم لتحديد وحل قضايا تسهيل الوصول إليها وسلامة استخدامها</w:t>
      </w:r>
    </w:p>
    <w:p w14:paraId="537F348B" w14:textId="77777777" w:rsidR="004F0D9B" w:rsidRDefault="004F0D9B" w:rsidP="004F0D9B">
      <w:pPr>
        <w:pStyle w:val="ListParagraph"/>
        <w:numPr>
          <w:ilvl w:val="0"/>
          <w:numId w:val="5"/>
        </w:numPr>
        <w:bidi/>
      </w:pPr>
      <w:r>
        <w:rPr>
          <w:rtl/>
        </w:rPr>
        <w:t xml:space="preserve">تطوير خطة تنفيذ عمل ومراجعتها سنوياً لأول ثلاث سنوات. وسترشد خطة </w:t>
      </w:r>
      <w:proofErr w:type="spellStart"/>
      <w:r>
        <w:t>العمل</w:t>
      </w:r>
      <w:proofErr w:type="spellEnd"/>
      <w:r>
        <w:rPr>
          <w:rtl/>
        </w:rPr>
        <w:t xml:space="preserve"> </w:t>
      </w:r>
      <w:proofErr w:type="spellStart"/>
      <w:r>
        <w:t>لتسهيل</w:t>
      </w:r>
      <w:proofErr w:type="spellEnd"/>
      <w:r>
        <w:rPr>
          <w:rtl/>
        </w:rPr>
        <w:t xml:space="preserve"> الوصول نهج "ميتلينك" في تخطيط إجراءات ومبادرات تسهيل الوصول</w:t>
      </w:r>
      <w:r>
        <w:t>،</w:t>
      </w:r>
      <w:r>
        <w:rPr>
          <w:rtl/>
        </w:rPr>
        <w:t xml:space="preserve"> والمشاركة في تمويلها بشأن الخطة الإقليمية للنقل البري</w:t>
      </w:r>
      <w:r>
        <w:t>،</w:t>
      </w:r>
      <w:r>
        <w:rPr>
          <w:rtl/>
        </w:rPr>
        <w:t xml:space="preserve"> وخطة ولنغتون الكبرى الطويلة الأمد</w:t>
      </w:r>
    </w:p>
    <w:p w14:paraId="520F9DA6" w14:textId="77777777" w:rsidR="004F0D9B" w:rsidRPr="00634BF8" w:rsidRDefault="004F0D9B" w:rsidP="004F0D9B">
      <w:pPr>
        <w:bidi/>
        <w:rPr>
          <w:b/>
        </w:rPr>
      </w:pPr>
      <w:r>
        <w:rPr>
          <w:b/>
          <w:bCs/>
          <w:rtl/>
        </w:rPr>
        <w:t>تصميم شبكة يمكن الوصول إليها</w:t>
      </w:r>
    </w:p>
    <w:p w14:paraId="3C1FCB63" w14:textId="77777777" w:rsidR="004F0D9B" w:rsidRDefault="004F0D9B" w:rsidP="004F0D9B">
      <w:pPr>
        <w:pStyle w:val="ListParagraph"/>
        <w:numPr>
          <w:ilvl w:val="0"/>
          <w:numId w:val="6"/>
        </w:numPr>
        <w:bidi/>
      </w:pPr>
      <w:r>
        <w:rPr>
          <w:rtl/>
        </w:rPr>
        <w:t>تحديد المجالات التي يمكن أن يدعم فيها تخطيط الشبكات والبنية التحتية الأشخاص ذوي الإعاقة</w:t>
      </w:r>
    </w:p>
    <w:p w14:paraId="2ACA65E4" w14:textId="77777777" w:rsidR="004F0D9B" w:rsidRDefault="004F0D9B" w:rsidP="004F0D9B">
      <w:pPr>
        <w:pStyle w:val="ListParagraph"/>
        <w:numPr>
          <w:ilvl w:val="0"/>
          <w:numId w:val="6"/>
        </w:numPr>
        <w:bidi/>
      </w:pPr>
      <w:r>
        <w:rPr>
          <w:rtl/>
        </w:rPr>
        <w:t>استمرار الاهتمام بوسائل النقل الخاصة بالإعاقة Total Mobility وتطويرها واعتبارها جزءا أساسيا من شبكة النقل العام</w:t>
      </w:r>
    </w:p>
    <w:p w14:paraId="31B395E6" w14:textId="77777777" w:rsidR="004F0D9B" w:rsidRPr="00634BF8" w:rsidRDefault="004F0D9B" w:rsidP="004F0D9B">
      <w:pPr>
        <w:bidi/>
        <w:rPr>
          <w:b/>
        </w:rPr>
      </w:pPr>
      <w:r>
        <w:rPr>
          <w:b/>
          <w:bCs/>
          <w:rtl/>
        </w:rPr>
        <w:t>بنية تحتية يمكن الوصول إليها</w:t>
      </w:r>
    </w:p>
    <w:p w14:paraId="518A69A0" w14:textId="77777777" w:rsidR="004F0D9B" w:rsidRDefault="004F0D9B" w:rsidP="004F0D9B">
      <w:pPr>
        <w:pStyle w:val="ListParagraph"/>
        <w:numPr>
          <w:ilvl w:val="0"/>
          <w:numId w:val="7"/>
        </w:numPr>
        <w:bidi/>
      </w:pPr>
      <w:r>
        <w:rPr>
          <w:rtl/>
        </w:rPr>
        <w:t xml:space="preserve">عندما يكون لـ "ميتلينك" تحكم في تصميم البنية التحتية وصيانتها، سنضع تسهيل الوصول إليها في صميم عملية صنع القرار لضمان حصول جميع مستخدمي </w:t>
      </w:r>
      <w:proofErr w:type="spellStart"/>
      <w:r>
        <w:t>وسائط</w:t>
      </w:r>
      <w:proofErr w:type="spellEnd"/>
      <w:r>
        <w:rPr>
          <w:rtl/>
        </w:rPr>
        <w:t xml:space="preserve"> النقل على فرص متساوية للتنقل فيها</w:t>
      </w:r>
    </w:p>
    <w:p w14:paraId="46030D7F" w14:textId="77777777" w:rsidR="004F0D9B" w:rsidRDefault="004F0D9B" w:rsidP="004F0D9B">
      <w:pPr>
        <w:pStyle w:val="ListParagraph"/>
        <w:numPr>
          <w:ilvl w:val="0"/>
          <w:numId w:val="7"/>
        </w:numPr>
        <w:bidi/>
      </w:pPr>
      <w:r>
        <w:rPr>
          <w:rtl/>
        </w:rPr>
        <w:t xml:space="preserve">عندما لا يكون لـ "ميتلينك" تحكم بتصميم البنية التحتية وصيانتها، فسوف نعمل بالتأثير على شركائنا الاستراتيجيين للنظر في وضع تسهيل الوصول إلى الخدمات في صميم عملية صنع القرار لضمان حصول جميع مستخدمي </w:t>
      </w:r>
      <w:proofErr w:type="spellStart"/>
      <w:r>
        <w:t>وسائط</w:t>
      </w:r>
      <w:proofErr w:type="spellEnd"/>
      <w:r>
        <w:rPr>
          <w:rtl/>
        </w:rPr>
        <w:t xml:space="preserve"> النقل على فرص متساوية للتنقل فيها</w:t>
      </w:r>
    </w:p>
    <w:p w14:paraId="7E2989F7" w14:textId="77777777" w:rsidR="004F0D9B" w:rsidRDefault="004F0D9B" w:rsidP="004F0D9B">
      <w:pPr>
        <w:pStyle w:val="ListParagraph"/>
        <w:numPr>
          <w:ilvl w:val="0"/>
          <w:numId w:val="7"/>
        </w:numPr>
        <w:bidi/>
      </w:pPr>
      <w:r>
        <w:rPr>
          <w:rtl/>
        </w:rPr>
        <w:t>العمل بالشراكة مع السلطة الإقليمية ذات الصلة عند مراجعة خدمات النقل العام أو إعادة تصميمها لضمان سير الرحلات بسلاسة. تضمين البنية التحتية والوصول إليها في عمليات التدقيق لتحديد أي نواقص في تسهيل الوصول إليها</w:t>
      </w:r>
    </w:p>
    <w:p w14:paraId="1A9EB7DA" w14:textId="77777777" w:rsidR="004F0D9B" w:rsidRDefault="004F0D9B" w:rsidP="004F0D9B">
      <w:pPr>
        <w:pStyle w:val="ListParagraph"/>
        <w:numPr>
          <w:ilvl w:val="0"/>
          <w:numId w:val="7"/>
        </w:numPr>
        <w:bidi/>
      </w:pPr>
      <w:r>
        <w:rPr>
          <w:rtl/>
        </w:rPr>
        <w:lastRenderedPageBreak/>
        <w:t>التأكد من أن مركبات النقل العام تفي بالمعايير المطلوبة للوصول إليها من ذوي الإعاقة وفقا لمتطلبات واكا كوتاهاي لحافلات المدن ومتطلبات ترخيص سلامة السكك الحديدية على النحو المنصوص عليه في خطة النقل العام الإقليمية</w:t>
      </w:r>
    </w:p>
    <w:p w14:paraId="55FFE80E" w14:textId="77777777" w:rsidR="004F0D9B" w:rsidRPr="00634BF8" w:rsidRDefault="004F0D9B" w:rsidP="004F0D9B">
      <w:pPr>
        <w:bidi/>
        <w:rPr>
          <w:b/>
        </w:rPr>
      </w:pPr>
      <w:r>
        <w:rPr>
          <w:b/>
          <w:bCs/>
          <w:rtl/>
        </w:rPr>
        <w:t>معلومات متاح الوصول إليها</w:t>
      </w:r>
    </w:p>
    <w:p w14:paraId="55765453" w14:textId="77777777" w:rsidR="004F0D9B" w:rsidRDefault="004F0D9B" w:rsidP="004F0D9B">
      <w:pPr>
        <w:pStyle w:val="ListParagraph"/>
        <w:numPr>
          <w:ilvl w:val="0"/>
          <w:numId w:val="8"/>
        </w:numPr>
        <w:bidi/>
      </w:pPr>
      <w:r>
        <w:rPr>
          <w:rtl/>
        </w:rPr>
        <w:t>النظر على وجه التحديد إلى احتياجات المعلومات لذوي الإعاقة عند اقتراح تغييرات على شبكة النقل وتنفيذها، وعند توفير بنية تحتية جديدة أو عند اقتراح إدخال تحسينات أو تغييرات على البنية التحتية القائمة</w:t>
      </w:r>
    </w:p>
    <w:p w14:paraId="378DDBEE" w14:textId="77777777" w:rsidR="004F0D9B" w:rsidRDefault="004F0D9B" w:rsidP="004F0D9B">
      <w:pPr>
        <w:pStyle w:val="ListParagraph"/>
        <w:numPr>
          <w:ilvl w:val="0"/>
          <w:numId w:val="8"/>
        </w:numPr>
        <w:bidi/>
      </w:pPr>
      <w:r>
        <w:rPr>
          <w:rtl/>
        </w:rPr>
        <w:t>التأكد من أن المعلومات الخاصة بالخدمات سهل الوصول إليها ومتاحة على نطاق واسع باستخدام نماذج ووسائط إعلام مناسبة بما في ذلك القنوات المرئية والسمعية</w:t>
      </w:r>
    </w:p>
    <w:p w14:paraId="583B02E4" w14:textId="77777777" w:rsidR="004F0D9B" w:rsidRDefault="004F0D9B" w:rsidP="004F0D9B">
      <w:pPr>
        <w:pStyle w:val="ListParagraph"/>
        <w:numPr>
          <w:ilvl w:val="0"/>
          <w:numId w:val="8"/>
        </w:numPr>
        <w:bidi/>
      </w:pPr>
      <w:r>
        <w:rPr>
          <w:rtl/>
        </w:rPr>
        <w:t>التأكد من توفر جميع وثائق "ميتلينك" للاستشارات العامة بأشكال وأساليب يسهل الوصول إليها لتمكين الأشخاص ذوي الإعاقة من المشاركة الكاملة فيها</w:t>
      </w:r>
    </w:p>
    <w:p w14:paraId="6AEABEF7" w14:textId="77777777" w:rsidR="004F0D9B" w:rsidRPr="00634BF8" w:rsidRDefault="004F0D9B" w:rsidP="004F0D9B">
      <w:pPr>
        <w:bidi/>
        <w:rPr>
          <w:b/>
        </w:rPr>
      </w:pPr>
      <w:r>
        <w:rPr>
          <w:b/>
          <w:bCs/>
          <w:rtl/>
        </w:rPr>
        <w:t>التعليم والتدريب</w:t>
      </w:r>
    </w:p>
    <w:p w14:paraId="4AACF746" w14:textId="77777777" w:rsidR="004F0D9B" w:rsidRDefault="004F0D9B" w:rsidP="004F0D9B">
      <w:pPr>
        <w:pStyle w:val="ListParagraph"/>
        <w:numPr>
          <w:ilvl w:val="0"/>
          <w:numId w:val="9"/>
        </w:numPr>
        <w:bidi/>
      </w:pPr>
      <w:r>
        <w:rPr>
          <w:rtl/>
        </w:rPr>
        <w:t>العمل مع المشغلين لضمان أن يشمل تدريب جميع الموظفين، عبر شبكة النقل العام، كيفية تقديم المساعدة المناسبة للأشخاص ذوي الإعاقة، والاستمرار في جعل هذا التدريب كمطلب في شروط التعاقد</w:t>
      </w:r>
    </w:p>
    <w:p w14:paraId="689727D9" w14:textId="77777777" w:rsidR="004F0D9B" w:rsidRDefault="004F0D9B" w:rsidP="004F0D9B">
      <w:pPr>
        <w:pStyle w:val="ListParagraph"/>
        <w:numPr>
          <w:ilvl w:val="0"/>
          <w:numId w:val="9"/>
        </w:numPr>
        <w:bidi/>
      </w:pPr>
      <w:r>
        <w:rPr>
          <w:rtl/>
        </w:rPr>
        <w:t xml:space="preserve">ضمان حصول جميع السائقين العاملين لدى خدمات </w:t>
      </w:r>
      <w:r w:rsidRPr="004F0D9B">
        <w:rPr>
          <w:rFonts w:cstheme="minorHAnsi"/>
          <w:rtl/>
        </w:rPr>
        <w:t>Total Mobility</w:t>
      </w:r>
      <w:r>
        <w:rPr>
          <w:rtl/>
        </w:rPr>
        <w:t xml:space="preserve"> على تدريب متخصص من أجل تقديم المساعدة الكافية والمناسبة للأشخاص ذوي الإعاقة</w:t>
      </w:r>
    </w:p>
    <w:p w14:paraId="0583ACFD" w14:textId="3506370A" w:rsidR="004F0D9B" w:rsidRPr="004F0D9B" w:rsidRDefault="004F0D9B" w:rsidP="006E325B">
      <w:pPr>
        <w:pStyle w:val="ListParagraph"/>
        <w:numPr>
          <w:ilvl w:val="0"/>
          <w:numId w:val="9"/>
        </w:numPr>
        <w:bidi/>
        <w:spacing w:after="0" w:line="240" w:lineRule="auto"/>
        <w:rPr>
          <w:rStyle w:val="scxw235463699"/>
        </w:rPr>
      </w:pPr>
      <w:r>
        <w:rPr>
          <w:rtl/>
        </w:rPr>
        <w:t>تمكين موظفينا بالمعلومات والوعي حول تسهيل الوصول وحول التصميم الشامل بما يضمن استيفاء نظام النقل العام لاحتياجات الأشخاص ذوي الإعاقة</w:t>
      </w:r>
    </w:p>
    <w:sectPr w:rsidR="004F0D9B" w:rsidRPr="004F0D9B" w:rsidSect="006B58C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3897D" w14:textId="77777777" w:rsidR="008C0981" w:rsidRDefault="008C0981" w:rsidP="000C6973">
      <w:pPr>
        <w:spacing w:after="0" w:line="240" w:lineRule="auto"/>
      </w:pPr>
      <w:r>
        <w:separator/>
      </w:r>
    </w:p>
  </w:endnote>
  <w:endnote w:type="continuationSeparator" w:id="0">
    <w:p w14:paraId="02AEFA06" w14:textId="77777777" w:rsidR="008C0981" w:rsidRDefault="008C0981" w:rsidP="000C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C1D8" w14:textId="77777777" w:rsidR="00964E5E" w:rsidRDefault="00964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32E5" w14:textId="57108741" w:rsidR="004F0D9B" w:rsidRDefault="004F0D9B" w:rsidP="00964E5E">
    <w:pPr>
      <w:spacing w:after="0" w:line="240" w:lineRule="auto"/>
      <w:contextualSpacing/>
      <w:jc w:val="right"/>
      <w:rPr>
        <w:sz w:val="18"/>
      </w:rPr>
    </w:pPr>
    <w:r w:rsidRPr="004F0D9B">
      <w:rPr>
        <w:sz w:val="18"/>
      </w:rPr>
      <w:t>Metlink Public Transport Accessibility Charter 2021</w:t>
    </w:r>
    <w:r w:rsidR="00964E5E">
      <w:rPr>
        <w:sz w:val="18"/>
      </w:rPr>
      <w:t xml:space="preserve"> in </w:t>
    </w:r>
    <w:r>
      <w:rPr>
        <w:sz w:val="18"/>
      </w:rPr>
      <w:t>Arabic</w:t>
    </w:r>
    <w:bookmarkStart w:id="2" w:name="_GoBack"/>
    <w:bookmarkEnd w:id="2"/>
  </w:p>
  <w:p w14:paraId="12D11A4F" w14:textId="63CA44BF" w:rsidR="004F0D9B" w:rsidRPr="004F0D9B" w:rsidRDefault="004F0D9B" w:rsidP="004F0D9B">
    <w:pPr>
      <w:spacing w:after="0" w:line="240" w:lineRule="auto"/>
      <w:contextualSpacing/>
      <w:jc w:val="right"/>
      <w:rPr>
        <w:sz w:val="18"/>
      </w:rPr>
    </w:pPr>
    <w:r>
      <w:rPr>
        <w:sz w:val="18"/>
      </w:rPr>
      <w:t>25 November 2021</w:t>
    </w:r>
  </w:p>
  <w:p w14:paraId="14FC990C" w14:textId="05F95789" w:rsidR="004F0D9B" w:rsidRPr="004F0D9B" w:rsidRDefault="004F0D9B">
    <w:pPr>
      <w:pStyle w:val="Footer"/>
      <w:jc w:val="center"/>
      <w:rPr>
        <w:caps/>
        <w:noProof/>
        <w:sz w:val="20"/>
        <w:szCs w:val="20"/>
      </w:rPr>
    </w:pPr>
    <w:r w:rsidRPr="004F0D9B">
      <w:rPr>
        <w:caps/>
        <w:sz w:val="20"/>
        <w:szCs w:val="20"/>
      </w:rPr>
      <w:fldChar w:fldCharType="begin"/>
    </w:r>
    <w:r w:rsidRPr="004F0D9B">
      <w:rPr>
        <w:caps/>
        <w:sz w:val="20"/>
        <w:szCs w:val="20"/>
      </w:rPr>
      <w:instrText xml:space="preserve"> PAGE   \* MERGEFORMAT </w:instrText>
    </w:r>
    <w:r w:rsidRPr="004F0D9B">
      <w:rPr>
        <w:caps/>
        <w:sz w:val="20"/>
        <w:szCs w:val="20"/>
      </w:rPr>
      <w:fldChar w:fldCharType="separate"/>
    </w:r>
    <w:r w:rsidR="00964E5E">
      <w:rPr>
        <w:caps/>
        <w:noProof/>
        <w:sz w:val="20"/>
        <w:szCs w:val="20"/>
      </w:rPr>
      <w:t>2</w:t>
    </w:r>
    <w:r w:rsidRPr="004F0D9B">
      <w:rPr>
        <w:caps/>
        <w:noProof/>
        <w:sz w:val="20"/>
        <w:szCs w:val="20"/>
      </w:rPr>
      <w:fldChar w:fldCharType="end"/>
    </w:r>
  </w:p>
  <w:p w14:paraId="54474659" w14:textId="77777777" w:rsidR="000C6973" w:rsidRDefault="000C6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06A4" w14:textId="77777777" w:rsidR="00964E5E" w:rsidRDefault="00964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E9FC3" w14:textId="77777777" w:rsidR="008C0981" w:rsidRDefault="008C0981" w:rsidP="000C6973">
      <w:pPr>
        <w:spacing w:after="0" w:line="240" w:lineRule="auto"/>
      </w:pPr>
      <w:r>
        <w:separator/>
      </w:r>
    </w:p>
  </w:footnote>
  <w:footnote w:type="continuationSeparator" w:id="0">
    <w:p w14:paraId="5A59BC1C" w14:textId="77777777" w:rsidR="008C0981" w:rsidRDefault="008C0981" w:rsidP="000C6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81D9" w14:textId="77777777" w:rsidR="00964E5E" w:rsidRDefault="00964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FBD9" w14:textId="77777777" w:rsidR="00964E5E" w:rsidRDefault="00964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2E28" w14:textId="77777777" w:rsidR="00964E5E" w:rsidRDefault="0096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3300B"/>
    <w:multiLevelType w:val="multilevel"/>
    <w:tmpl w:val="B19E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4577F"/>
    <w:multiLevelType w:val="hybridMultilevel"/>
    <w:tmpl w:val="C55837D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33462E"/>
    <w:multiLevelType w:val="hybridMultilevel"/>
    <w:tmpl w:val="4300CA8E"/>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9F645C"/>
    <w:multiLevelType w:val="hybridMultilevel"/>
    <w:tmpl w:val="EE7EDA0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5F0471E"/>
    <w:multiLevelType w:val="hybridMultilevel"/>
    <w:tmpl w:val="0BF4D7C2"/>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E282BB5"/>
    <w:multiLevelType w:val="hybridMultilevel"/>
    <w:tmpl w:val="D8A83BC2"/>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0E530BE"/>
    <w:multiLevelType w:val="hybridMultilevel"/>
    <w:tmpl w:val="62887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63C6776"/>
    <w:multiLevelType w:val="multilevel"/>
    <w:tmpl w:val="DD9E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C47A5"/>
    <w:multiLevelType w:val="hybridMultilevel"/>
    <w:tmpl w:val="995AC17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6"/>
  </w:num>
  <w:num w:numId="4">
    <w:abstractNumId w:val="1"/>
  </w:num>
  <w:num w:numId="5">
    <w:abstractNumId w:val="3"/>
  </w:num>
  <w:num w:numId="6">
    <w:abstractNumId w:val="5"/>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C6"/>
    <w:rsid w:val="00051C0B"/>
    <w:rsid w:val="000C6973"/>
    <w:rsid w:val="001739E7"/>
    <w:rsid w:val="001812C7"/>
    <w:rsid w:val="001B7E52"/>
    <w:rsid w:val="001F49CE"/>
    <w:rsid w:val="00274992"/>
    <w:rsid w:val="002A12E0"/>
    <w:rsid w:val="002F4CC7"/>
    <w:rsid w:val="003274C3"/>
    <w:rsid w:val="003348E5"/>
    <w:rsid w:val="003728FD"/>
    <w:rsid w:val="003B655B"/>
    <w:rsid w:val="003E0DC8"/>
    <w:rsid w:val="00446D6F"/>
    <w:rsid w:val="00446E7A"/>
    <w:rsid w:val="0047571E"/>
    <w:rsid w:val="004F0D9B"/>
    <w:rsid w:val="00520DB4"/>
    <w:rsid w:val="00527367"/>
    <w:rsid w:val="00563959"/>
    <w:rsid w:val="005A37CD"/>
    <w:rsid w:val="00650A4D"/>
    <w:rsid w:val="006B58C6"/>
    <w:rsid w:val="00730FE6"/>
    <w:rsid w:val="00766F1E"/>
    <w:rsid w:val="007C2B7F"/>
    <w:rsid w:val="008002B8"/>
    <w:rsid w:val="00840EC3"/>
    <w:rsid w:val="008C0981"/>
    <w:rsid w:val="00964E5E"/>
    <w:rsid w:val="009770DA"/>
    <w:rsid w:val="00A20CAC"/>
    <w:rsid w:val="00B55D9F"/>
    <w:rsid w:val="00C774DA"/>
    <w:rsid w:val="00D15285"/>
    <w:rsid w:val="00EF0A1A"/>
    <w:rsid w:val="00F0397C"/>
    <w:rsid w:val="00FA0A1C"/>
    <w:rsid w:val="00FB18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9882"/>
  <w15:chartTrackingRefBased/>
  <w15:docId w15:val="{454A893D-889C-4297-A70E-F895C6CE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WSubject">
    <w:name w:val="GW Subject"/>
    <w:basedOn w:val="BodyText"/>
    <w:rsid w:val="006B58C6"/>
    <w:pPr>
      <w:spacing w:after="240" w:line="240" w:lineRule="auto"/>
    </w:pPr>
    <w:rPr>
      <w:rFonts w:ascii="Calibri" w:eastAsia="Times New Roman" w:hAnsi="Calibri" w:cs="Times New Roman"/>
      <w:b/>
      <w:sz w:val="28"/>
      <w:szCs w:val="20"/>
      <w:lang w:eastAsia="en-GB"/>
    </w:rPr>
  </w:style>
  <w:style w:type="paragraph" w:customStyle="1" w:styleId="zDear">
    <w:name w:val="z_Dear"/>
    <w:basedOn w:val="BodyText"/>
    <w:rsid w:val="006B58C6"/>
    <w:pPr>
      <w:spacing w:after="240" w:line="240" w:lineRule="auto"/>
      <w:jc w:val="both"/>
    </w:pPr>
    <w:rPr>
      <w:rFonts w:ascii="Calibri" w:eastAsia="Times New Roman" w:hAnsi="Calibri" w:cs="Times New Roman"/>
      <w:szCs w:val="20"/>
      <w:lang w:eastAsia="en-GB"/>
    </w:rPr>
  </w:style>
  <w:style w:type="character" w:customStyle="1" w:styleId="normaltextrun">
    <w:name w:val="normaltextrun"/>
    <w:basedOn w:val="DefaultParagraphFont"/>
    <w:rsid w:val="006B58C6"/>
  </w:style>
  <w:style w:type="character" w:customStyle="1" w:styleId="eop">
    <w:name w:val="eop"/>
    <w:basedOn w:val="DefaultParagraphFont"/>
    <w:rsid w:val="006B58C6"/>
  </w:style>
  <w:style w:type="paragraph" w:customStyle="1" w:styleId="paragraph">
    <w:name w:val="paragraph"/>
    <w:basedOn w:val="Normal"/>
    <w:rsid w:val="006B58C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cxw235463699">
    <w:name w:val="scxw235463699"/>
    <w:basedOn w:val="DefaultParagraphFont"/>
    <w:rsid w:val="006B58C6"/>
  </w:style>
  <w:style w:type="paragraph" w:styleId="BodyText">
    <w:name w:val="Body Text"/>
    <w:basedOn w:val="Normal"/>
    <w:link w:val="BodyTextChar"/>
    <w:uiPriority w:val="99"/>
    <w:semiHidden/>
    <w:unhideWhenUsed/>
    <w:rsid w:val="006B58C6"/>
    <w:pPr>
      <w:spacing w:after="120"/>
    </w:pPr>
  </w:style>
  <w:style w:type="character" w:customStyle="1" w:styleId="BodyTextChar">
    <w:name w:val="Body Text Char"/>
    <w:basedOn w:val="DefaultParagraphFont"/>
    <w:link w:val="BodyText"/>
    <w:uiPriority w:val="99"/>
    <w:semiHidden/>
    <w:rsid w:val="006B58C6"/>
  </w:style>
  <w:style w:type="paragraph" w:customStyle="1" w:styleId="GWSignOffBlock">
    <w:name w:val="GW Sign Off Block"/>
    <w:basedOn w:val="Normal"/>
    <w:rsid w:val="006B58C6"/>
    <w:pPr>
      <w:spacing w:after="0" w:line="240" w:lineRule="auto"/>
    </w:pPr>
    <w:rPr>
      <w:rFonts w:ascii="Calibri" w:eastAsia="Times New Roman" w:hAnsi="Calibri" w:cs="Times New Roman"/>
      <w:szCs w:val="20"/>
      <w:lang w:eastAsia="en-GB"/>
    </w:rPr>
  </w:style>
  <w:style w:type="paragraph" w:customStyle="1" w:styleId="zSignoff">
    <w:name w:val="z_Sign off"/>
    <w:basedOn w:val="Normal"/>
    <w:rsid w:val="006B58C6"/>
    <w:pPr>
      <w:keepNext/>
      <w:spacing w:before="480" w:after="0" w:line="240" w:lineRule="auto"/>
    </w:pPr>
    <w:rPr>
      <w:rFonts w:ascii="Calibri" w:eastAsia="Times New Roman" w:hAnsi="Calibri" w:cs="Times New Roman"/>
      <w:szCs w:val="20"/>
      <w:lang w:eastAsia="en-GB"/>
    </w:rPr>
  </w:style>
  <w:style w:type="character" w:customStyle="1" w:styleId="scxw102281517">
    <w:name w:val="scxw102281517"/>
    <w:basedOn w:val="DefaultParagraphFont"/>
    <w:rsid w:val="006B58C6"/>
  </w:style>
  <w:style w:type="paragraph" w:styleId="ListParagraph">
    <w:name w:val="List Paragraph"/>
    <w:basedOn w:val="Normal"/>
    <w:uiPriority w:val="34"/>
    <w:qFormat/>
    <w:rsid w:val="003E0DC8"/>
    <w:pPr>
      <w:ind w:left="720"/>
      <w:contextualSpacing/>
    </w:pPr>
  </w:style>
  <w:style w:type="paragraph" w:styleId="BalloonText">
    <w:name w:val="Balloon Text"/>
    <w:basedOn w:val="Normal"/>
    <w:link w:val="BalloonTextChar"/>
    <w:uiPriority w:val="99"/>
    <w:semiHidden/>
    <w:unhideWhenUsed/>
    <w:rsid w:val="003E0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C8"/>
    <w:rPr>
      <w:rFonts w:ascii="Segoe UI" w:hAnsi="Segoe UI" w:cs="Segoe UI"/>
      <w:sz w:val="18"/>
      <w:szCs w:val="18"/>
    </w:rPr>
  </w:style>
  <w:style w:type="character" w:styleId="Hyperlink">
    <w:name w:val="Hyperlink"/>
    <w:basedOn w:val="DefaultParagraphFont"/>
    <w:uiPriority w:val="99"/>
    <w:unhideWhenUsed/>
    <w:rsid w:val="001812C7"/>
    <w:rPr>
      <w:color w:val="0563C1" w:themeColor="hyperlink"/>
      <w:u w:val="single"/>
    </w:rPr>
  </w:style>
  <w:style w:type="paragraph" w:styleId="Header">
    <w:name w:val="header"/>
    <w:basedOn w:val="Normal"/>
    <w:link w:val="HeaderChar"/>
    <w:uiPriority w:val="99"/>
    <w:unhideWhenUsed/>
    <w:rsid w:val="000C6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973"/>
  </w:style>
  <w:style w:type="paragraph" w:styleId="Footer">
    <w:name w:val="footer"/>
    <w:basedOn w:val="Normal"/>
    <w:link w:val="FooterChar"/>
    <w:uiPriority w:val="99"/>
    <w:unhideWhenUsed/>
    <w:rsid w:val="000C6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973"/>
  </w:style>
  <w:style w:type="character" w:styleId="CommentReference">
    <w:name w:val="annotation reference"/>
    <w:basedOn w:val="DefaultParagraphFont"/>
    <w:uiPriority w:val="99"/>
    <w:semiHidden/>
    <w:unhideWhenUsed/>
    <w:rsid w:val="002F4CC7"/>
    <w:rPr>
      <w:sz w:val="16"/>
      <w:szCs w:val="16"/>
    </w:rPr>
  </w:style>
  <w:style w:type="paragraph" w:styleId="CommentText">
    <w:name w:val="annotation text"/>
    <w:basedOn w:val="Normal"/>
    <w:link w:val="CommentTextChar"/>
    <w:uiPriority w:val="99"/>
    <w:semiHidden/>
    <w:unhideWhenUsed/>
    <w:rsid w:val="002F4CC7"/>
    <w:pPr>
      <w:spacing w:line="240" w:lineRule="auto"/>
    </w:pPr>
    <w:rPr>
      <w:sz w:val="20"/>
      <w:szCs w:val="20"/>
    </w:rPr>
  </w:style>
  <w:style w:type="character" w:customStyle="1" w:styleId="CommentTextChar">
    <w:name w:val="Comment Text Char"/>
    <w:basedOn w:val="DefaultParagraphFont"/>
    <w:link w:val="CommentText"/>
    <w:uiPriority w:val="99"/>
    <w:semiHidden/>
    <w:rsid w:val="002F4CC7"/>
    <w:rPr>
      <w:sz w:val="20"/>
      <w:szCs w:val="20"/>
    </w:rPr>
  </w:style>
  <w:style w:type="paragraph" w:styleId="CommentSubject">
    <w:name w:val="annotation subject"/>
    <w:basedOn w:val="CommentText"/>
    <w:next w:val="CommentText"/>
    <w:link w:val="CommentSubjectChar"/>
    <w:uiPriority w:val="99"/>
    <w:semiHidden/>
    <w:unhideWhenUsed/>
    <w:rsid w:val="002F4CC7"/>
    <w:rPr>
      <w:b/>
      <w:bCs/>
    </w:rPr>
  </w:style>
  <w:style w:type="character" w:customStyle="1" w:styleId="CommentSubjectChar">
    <w:name w:val="Comment Subject Char"/>
    <w:basedOn w:val="CommentTextChar"/>
    <w:link w:val="CommentSubject"/>
    <w:uiPriority w:val="99"/>
    <w:semiHidden/>
    <w:rsid w:val="002F4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842203">
      <w:bodyDiv w:val="1"/>
      <w:marLeft w:val="0"/>
      <w:marRight w:val="0"/>
      <w:marTop w:val="0"/>
      <w:marBottom w:val="0"/>
      <w:divBdr>
        <w:top w:val="none" w:sz="0" w:space="0" w:color="auto"/>
        <w:left w:val="none" w:sz="0" w:space="0" w:color="auto"/>
        <w:bottom w:val="none" w:sz="0" w:space="0" w:color="auto"/>
        <w:right w:val="none" w:sz="0" w:space="0" w:color="auto"/>
      </w:divBdr>
      <w:divsChild>
        <w:div w:id="958994815">
          <w:marLeft w:val="0"/>
          <w:marRight w:val="0"/>
          <w:marTop w:val="0"/>
          <w:marBottom w:val="0"/>
          <w:divBdr>
            <w:top w:val="none" w:sz="0" w:space="0" w:color="auto"/>
            <w:left w:val="none" w:sz="0" w:space="0" w:color="auto"/>
            <w:bottom w:val="none" w:sz="0" w:space="0" w:color="auto"/>
            <w:right w:val="none" w:sz="0" w:space="0" w:color="auto"/>
          </w:divBdr>
          <w:divsChild>
            <w:div w:id="1610356032">
              <w:marLeft w:val="0"/>
              <w:marRight w:val="0"/>
              <w:marTop w:val="0"/>
              <w:marBottom w:val="0"/>
              <w:divBdr>
                <w:top w:val="none" w:sz="0" w:space="0" w:color="auto"/>
                <w:left w:val="none" w:sz="0" w:space="0" w:color="auto"/>
                <w:bottom w:val="none" w:sz="0" w:space="0" w:color="auto"/>
                <w:right w:val="none" w:sz="0" w:space="0" w:color="auto"/>
              </w:divBdr>
            </w:div>
          </w:divsChild>
        </w:div>
        <w:div w:id="1525361216">
          <w:marLeft w:val="0"/>
          <w:marRight w:val="0"/>
          <w:marTop w:val="0"/>
          <w:marBottom w:val="0"/>
          <w:divBdr>
            <w:top w:val="none" w:sz="0" w:space="0" w:color="auto"/>
            <w:left w:val="none" w:sz="0" w:space="0" w:color="auto"/>
            <w:bottom w:val="none" w:sz="0" w:space="0" w:color="auto"/>
            <w:right w:val="none" w:sz="0" w:space="0" w:color="auto"/>
          </w:divBdr>
          <w:divsChild>
            <w:div w:id="913054287">
              <w:marLeft w:val="0"/>
              <w:marRight w:val="0"/>
              <w:marTop w:val="0"/>
              <w:marBottom w:val="0"/>
              <w:divBdr>
                <w:top w:val="none" w:sz="0" w:space="0" w:color="auto"/>
                <w:left w:val="none" w:sz="0" w:space="0" w:color="auto"/>
                <w:bottom w:val="none" w:sz="0" w:space="0" w:color="auto"/>
                <w:right w:val="none" w:sz="0" w:space="0" w:color="auto"/>
              </w:divBdr>
            </w:div>
            <w:div w:id="1600869735">
              <w:marLeft w:val="0"/>
              <w:marRight w:val="0"/>
              <w:marTop w:val="0"/>
              <w:marBottom w:val="0"/>
              <w:divBdr>
                <w:top w:val="none" w:sz="0" w:space="0" w:color="auto"/>
                <w:left w:val="none" w:sz="0" w:space="0" w:color="auto"/>
                <w:bottom w:val="none" w:sz="0" w:space="0" w:color="auto"/>
                <w:right w:val="none" w:sz="0" w:space="0" w:color="auto"/>
              </w:divBdr>
            </w:div>
            <w:div w:id="1658461915">
              <w:marLeft w:val="0"/>
              <w:marRight w:val="0"/>
              <w:marTop w:val="0"/>
              <w:marBottom w:val="0"/>
              <w:divBdr>
                <w:top w:val="none" w:sz="0" w:space="0" w:color="auto"/>
                <w:left w:val="none" w:sz="0" w:space="0" w:color="auto"/>
                <w:bottom w:val="none" w:sz="0" w:space="0" w:color="auto"/>
                <w:right w:val="none" w:sz="0" w:space="0" w:color="auto"/>
              </w:divBdr>
            </w:div>
          </w:divsChild>
        </w:div>
        <w:div w:id="467866539">
          <w:marLeft w:val="0"/>
          <w:marRight w:val="0"/>
          <w:marTop w:val="0"/>
          <w:marBottom w:val="0"/>
          <w:divBdr>
            <w:top w:val="none" w:sz="0" w:space="0" w:color="auto"/>
            <w:left w:val="none" w:sz="0" w:space="0" w:color="auto"/>
            <w:bottom w:val="none" w:sz="0" w:space="0" w:color="auto"/>
            <w:right w:val="none" w:sz="0" w:space="0" w:color="auto"/>
          </w:divBdr>
          <w:divsChild>
            <w:div w:id="1528981272">
              <w:marLeft w:val="0"/>
              <w:marRight w:val="0"/>
              <w:marTop w:val="0"/>
              <w:marBottom w:val="0"/>
              <w:divBdr>
                <w:top w:val="none" w:sz="0" w:space="0" w:color="auto"/>
                <w:left w:val="none" w:sz="0" w:space="0" w:color="auto"/>
                <w:bottom w:val="none" w:sz="0" w:space="0" w:color="auto"/>
                <w:right w:val="none" w:sz="0" w:space="0" w:color="auto"/>
              </w:divBdr>
            </w:div>
          </w:divsChild>
        </w:div>
        <w:div w:id="1243300759">
          <w:marLeft w:val="0"/>
          <w:marRight w:val="0"/>
          <w:marTop w:val="0"/>
          <w:marBottom w:val="0"/>
          <w:divBdr>
            <w:top w:val="none" w:sz="0" w:space="0" w:color="auto"/>
            <w:left w:val="none" w:sz="0" w:space="0" w:color="auto"/>
            <w:bottom w:val="none" w:sz="0" w:space="0" w:color="auto"/>
            <w:right w:val="none" w:sz="0" w:space="0" w:color="auto"/>
          </w:divBdr>
          <w:divsChild>
            <w:div w:id="2077851195">
              <w:marLeft w:val="0"/>
              <w:marRight w:val="0"/>
              <w:marTop w:val="0"/>
              <w:marBottom w:val="0"/>
              <w:divBdr>
                <w:top w:val="none" w:sz="0" w:space="0" w:color="auto"/>
                <w:left w:val="none" w:sz="0" w:space="0" w:color="auto"/>
                <w:bottom w:val="none" w:sz="0" w:space="0" w:color="auto"/>
                <w:right w:val="none" w:sz="0" w:space="0" w:color="auto"/>
              </w:divBdr>
            </w:div>
          </w:divsChild>
        </w:div>
        <w:div w:id="1754010913">
          <w:marLeft w:val="0"/>
          <w:marRight w:val="0"/>
          <w:marTop w:val="0"/>
          <w:marBottom w:val="0"/>
          <w:divBdr>
            <w:top w:val="none" w:sz="0" w:space="0" w:color="auto"/>
            <w:left w:val="none" w:sz="0" w:space="0" w:color="auto"/>
            <w:bottom w:val="none" w:sz="0" w:space="0" w:color="auto"/>
            <w:right w:val="none" w:sz="0" w:space="0" w:color="auto"/>
          </w:divBdr>
          <w:divsChild>
            <w:div w:id="321009580">
              <w:marLeft w:val="0"/>
              <w:marRight w:val="0"/>
              <w:marTop w:val="0"/>
              <w:marBottom w:val="0"/>
              <w:divBdr>
                <w:top w:val="none" w:sz="0" w:space="0" w:color="auto"/>
                <w:left w:val="none" w:sz="0" w:space="0" w:color="auto"/>
                <w:bottom w:val="none" w:sz="0" w:space="0" w:color="auto"/>
                <w:right w:val="none" w:sz="0" w:space="0" w:color="auto"/>
              </w:divBdr>
            </w:div>
          </w:divsChild>
        </w:div>
        <w:div w:id="736394222">
          <w:marLeft w:val="0"/>
          <w:marRight w:val="0"/>
          <w:marTop w:val="0"/>
          <w:marBottom w:val="0"/>
          <w:divBdr>
            <w:top w:val="none" w:sz="0" w:space="0" w:color="auto"/>
            <w:left w:val="none" w:sz="0" w:space="0" w:color="auto"/>
            <w:bottom w:val="none" w:sz="0" w:space="0" w:color="auto"/>
            <w:right w:val="none" w:sz="0" w:space="0" w:color="auto"/>
          </w:divBdr>
          <w:divsChild>
            <w:div w:id="494343092">
              <w:marLeft w:val="0"/>
              <w:marRight w:val="0"/>
              <w:marTop w:val="0"/>
              <w:marBottom w:val="0"/>
              <w:divBdr>
                <w:top w:val="none" w:sz="0" w:space="0" w:color="auto"/>
                <w:left w:val="none" w:sz="0" w:space="0" w:color="auto"/>
                <w:bottom w:val="none" w:sz="0" w:space="0" w:color="auto"/>
                <w:right w:val="none" w:sz="0" w:space="0" w:color="auto"/>
              </w:divBdr>
            </w:div>
            <w:div w:id="118765246">
              <w:marLeft w:val="0"/>
              <w:marRight w:val="0"/>
              <w:marTop w:val="0"/>
              <w:marBottom w:val="0"/>
              <w:divBdr>
                <w:top w:val="none" w:sz="0" w:space="0" w:color="auto"/>
                <w:left w:val="none" w:sz="0" w:space="0" w:color="auto"/>
                <w:bottom w:val="none" w:sz="0" w:space="0" w:color="auto"/>
                <w:right w:val="none" w:sz="0" w:space="0" w:color="auto"/>
              </w:divBdr>
            </w:div>
          </w:divsChild>
        </w:div>
        <w:div w:id="1324578708">
          <w:marLeft w:val="0"/>
          <w:marRight w:val="0"/>
          <w:marTop w:val="0"/>
          <w:marBottom w:val="0"/>
          <w:divBdr>
            <w:top w:val="none" w:sz="0" w:space="0" w:color="auto"/>
            <w:left w:val="none" w:sz="0" w:space="0" w:color="auto"/>
            <w:bottom w:val="none" w:sz="0" w:space="0" w:color="auto"/>
            <w:right w:val="none" w:sz="0" w:space="0" w:color="auto"/>
          </w:divBdr>
          <w:divsChild>
            <w:div w:id="17313250">
              <w:marLeft w:val="0"/>
              <w:marRight w:val="0"/>
              <w:marTop w:val="0"/>
              <w:marBottom w:val="0"/>
              <w:divBdr>
                <w:top w:val="none" w:sz="0" w:space="0" w:color="auto"/>
                <w:left w:val="none" w:sz="0" w:space="0" w:color="auto"/>
                <w:bottom w:val="none" w:sz="0" w:space="0" w:color="auto"/>
                <w:right w:val="none" w:sz="0" w:space="0" w:color="auto"/>
              </w:divBdr>
            </w:div>
          </w:divsChild>
        </w:div>
        <w:div w:id="1202862838">
          <w:marLeft w:val="0"/>
          <w:marRight w:val="0"/>
          <w:marTop w:val="0"/>
          <w:marBottom w:val="0"/>
          <w:divBdr>
            <w:top w:val="none" w:sz="0" w:space="0" w:color="auto"/>
            <w:left w:val="none" w:sz="0" w:space="0" w:color="auto"/>
            <w:bottom w:val="none" w:sz="0" w:space="0" w:color="auto"/>
            <w:right w:val="none" w:sz="0" w:space="0" w:color="auto"/>
          </w:divBdr>
          <w:divsChild>
            <w:div w:id="114182691">
              <w:marLeft w:val="0"/>
              <w:marRight w:val="0"/>
              <w:marTop w:val="0"/>
              <w:marBottom w:val="0"/>
              <w:divBdr>
                <w:top w:val="none" w:sz="0" w:space="0" w:color="auto"/>
                <w:left w:val="none" w:sz="0" w:space="0" w:color="auto"/>
                <w:bottom w:val="none" w:sz="0" w:space="0" w:color="auto"/>
                <w:right w:val="none" w:sz="0" w:space="0" w:color="auto"/>
              </w:divBdr>
            </w:div>
          </w:divsChild>
        </w:div>
        <w:div w:id="1810516640">
          <w:marLeft w:val="0"/>
          <w:marRight w:val="0"/>
          <w:marTop w:val="0"/>
          <w:marBottom w:val="0"/>
          <w:divBdr>
            <w:top w:val="none" w:sz="0" w:space="0" w:color="auto"/>
            <w:left w:val="none" w:sz="0" w:space="0" w:color="auto"/>
            <w:bottom w:val="none" w:sz="0" w:space="0" w:color="auto"/>
            <w:right w:val="none" w:sz="0" w:space="0" w:color="auto"/>
          </w:divBdr>
          <w:divsChild>
            <w:div w:id="5832755">
              <w:marLeft w:val="0"/>
              <w:marRight w:val="0"/>
              <w:marTop w:val="0"/>
              <w:marBottom w:val="0"/>
              <w:divBdr>
                <w:top w:val="none" w:sz="0" w:space="0" w:color="auto"/>
                <w:left w:val="none" w:sz="0" w:space="0" w:color="auto"/>
                <w:bottom w:val="none" w:sz="0" w:space="0" w:color="auto"/>
                <w:right w:val="none" w:sz="0" w:space="0" w:color="auto"/>
              </w:divBdr>
            </w:div>
            <w:div w:id="704449503">
              <w:marLeft w:val="0"/>
              <w:marRight w:val="0"/>
              <w:marTop w:val="0"/>
              <w:marBottom w:val="0"/>
              <w:divBdr>
                <w:top w:val="none" w:sz="0" w:space="0" w:color="auto"/>
                <w:left w:val="none" w:sz="0" w:space="0" w:color="auto"/>
                <w:bottom w:val="none" w:sz="0" w:space="0" w:color="auto"/>
                <w:right w:val="none" w:sz="0" w:space="0" w:color="auto"/>
              </w:divBdr>
            </w:div>
          </w:divsChild>
        </w:div>
        <w:div w:id="1876775623">
          <w:marLeft w:val="0"/>
          <w:marRight w:val="0"/>
          <w:marTop w:val="0"/>
          <w:marBottom w:val="0"/>
          <w:divBdr>
            <w:top w:val="none" w:sz="0" w:space="0" w:color="auto"/>
            <w:left w:val="none" w:sz="0" w:space="0" w:color="auto"/>
            <w:bottom w:val="none" w:sz="0" w:space="0" w:color="auto"/>
            <w:right w:val="none" w:sz="0" w:space="0" w:color="auto"/>
          </w:divBdr>
          <w:divsChild>
            <w:div w:id="2014407399">
              <w:marLeft w:val="0"/>
              <w:marRight w:val="0"/>
              <w:marTop w:val="0"/>
              <w:marBottom w:val="0"/>
              <w:divBdr>
                <w:top w:val="none" w:sz="0" w:space="0" w:color="auto"/>
                <w:left w:val="none" w:sz="0" w:space="0" w:color="auto"/>
                <w:bottom w:val="none" w:sz="0" w:space="0" w:color="auto"/>
                <w:right w:val="none" w:sz="0" w:space="0" w:color="auto"/>
              </w:divBdr>
            </w:div>
            <w:div w:id="1067143756">
              <w:marLeft w:val="0"/>
              <w:marRight w:val="0"/>
              <w:marTop w:val="0"/>
              <w:marBottom w:val="0"/>
              <w:divBdr>
                <w:top w:val="none" w:sz="0" w:space="0" w:color="auto"/>
                <w:left w:val="none" w:sz="0" w:space="0" w:color="auto"/>
                <w:bottom w:val="none" w:sz="0" w:space="0" w:color="auto"/>
                <w:right w:val="none" w:sz="0" w:space="0" w:color="auto"/>
              </w:divBdr>
            </w:div>
            <w:div w:id="1341153072">
              <w:marLeft w:val="0"/>
              <w:marRight w:val="0"/>
              <w:marTop w:val="0"/>
              <w:marBottom w:val="0"/>
              <w:divBdr>
                <w:top w:val="none" w:sz="0" w:space="0" w:color="auto"/>
                <w:left w:val="none" w:sz="0" w:space="0" w:color="auto"/>
                <w:bottom w:val="none" w:sz="0" w:space="0" w:color="auto"/>
                <w:right w:val="none" w:sz="0" w:space="0" w:color="auto"/>
              </w:divBdr>
            </w:div>
            <w:div w:id="16817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FA8D-BF4A-495D-9E2E-8CF03E7E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Greater Wellington Regional Council</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Harris</dc:creator>
  <cp:keywords/>
  <dc:description/>
  <cp:lastModifiedBy>Leigh-Ann Harris</cp:lastModifiedBy>
  <cp:revision>4</cp:revision>
  <cp:lastPrinted>2021-02-11T21:34:00Z</cp:lastPrinted>
  <dcterms:created xsi:type="dcterms:W3CDTF">2021-11-17T22:47:00Z</dcterms:created>
  <dcterms:modified xsi:type="dcterms:W3CDTF">2021-11-18T00:29:00Z</dcterms:modified>
</cp:coreProperties>
</file>